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4.xml" ContentType="application/vnd.ms-office.activeX+xml"/>
  <Override PartName="/word/activeX/activeX4.bin" ContentType="application/vnd.ms-office.activeX"/>
  <Override PartName="/word/activeX/activeX3.xml" ContentType="application/vnd.ms-office.activeX+xml"/>
  <Override PartName="/word/activeX/activeX1.xml" ContentType="application/vnd.ms-office.activeX+xml"/>
  <Override PartName="/word/activeX/activeX2.bin" ContentType="application/vnd.ms-office.activeX"/>
  <Override PartName="/word/activeX/activeX3.bin" ContentType="application/vnd.ms-office.activeX"/>
  <Override PartName="/word/activeX/activeX2.xml" ContentType="application/vnd.ms-office.activeX+xml"/>
  <Override PartName="/word/activeX/activeX1.bin" ContentType="application/vnd.ms-office.activeX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media/image3.wmf" ContentType="image/x-wmf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er"/>
        <w:jc w:val="center"/>
        <w:rPr>
          <w:rFonts w:ascii="Calibri" w:hAnsi="Calibri" w:cs="Calibri" w:asciiTheme="minorHAnsi" w:cstheme="minorHAnsi" w:hAnsiTheme="minorHAnsi"/>
          <w:b/>
          <w:b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b/>
          <w:sz w:val="40"/>
          <w:szCs w:val="40"/>
        </w:rPr>
        <w:t>PLNÁ MOC</w:t>
      </w:r>
    </w:p>
    <w:p>
      <w:pPr>
        <w:pStyle w:val="Footer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Footer"/>
        <w:tabs>
          <w:tab w:val="left" w:pos="1985" w:leader="none"/>
          <w:tab w:val="center" w:pos="4536" w:leader="none"/>
          <w:tab w:val="right" w:pos="9072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Já níže podepsaný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  <w:tab/>
        <w:tab/>
        <w:t>………………………………………………………………………………………………………….....</w:t>
      </w:r>
    </w:p>
    <w:p>
      <w:pPr>
        <w:pStyle w:val="Footer"/>
        <w:tabs>
          <w:tab w:val="left" w:pos="2127" w:leader="none"/>
          <w:tab w:val="center" w:pos="4536" w:leader="none"/>
          <w:tab w:val="right" w:pos="9070" w:leader="none"/>
          <w:tab w:val="right" w:pos="9072" w:leader="none"/>
        </w:tabs>
        <w:jc w:val="left"/>
        <w:rPr/>
      </w:pPr>
      <w:r>
        <w:rPr/>
        <w:t>Datum narození (IČO</w:t>
      </w:r>
      <w:r>
        <w:rPr/>
        <w:t>)</w:t>
      </w:r>
      <w:r>
        <w:rPr/>
        <w:t>…………………………………………………………………………………………………</w:t>
      </w:r>
    </w:p>
    <w:p>
      <w:pPr>
        <w:pStyle w:val="Normal"/>
        <w:spacing w:before="0" w:after="120"/>
        <w:jc w:val="left"/>
        <w:rPr/>
      </w:pPr>
      <w:r>
        <w:rPr/>
        <w:t>Bytem (sídlo firmy) 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Oprávněný jednající za 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(firma, IČO, sídlo)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………………………………………………………………………..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(dále jen „zmocnitel“)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tímto zplnomocňuji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before="0" w:after="80"/>
        <w:jc w:val="both"/>
        <w:rPr/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0"/>
        </w:rPr>
        <w:t>Smluvní servis:</w:t>
        <w:tab/>
        <w:tab/>
        <w:tab/>
        <w:tab/>
        <w:t>R-</w:t>
      </w: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>SPEED s.r.o.</w:t>
      </w:r>
    </w:p>
    <w:p>
      <w:pPr>
        <w:pStyle w:val="Normal"/>
        <w:spacing w:before="0" w:after="80"/>
        <w:jc w:val="both"/>
        <w:rPr/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0"/>
        </w:rPr>
        <w:t>Adresa smluvního servisu:</w:t>
        <w:tab/>
        <w:tab/>
        <w:t>Plhovská 340, 547 01 Náchod</w:t>
      </w:r>
    </w:p>
    <w:p>
      <w:pPr>
        <w:pStyle w:val="Normal"/>
        <w:spacing w:before="0" w:after="80"/>
        <w:jc w:val="both"/>
        <w:rPr/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0"/>
        </w:rPr>
        <w:t xml:space="preserve">IČO: </w:t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>27471829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0"/>
        </w:rPr>
        <w:t xml:space="preserve">Bankovní spojení smluvního servisu:   </w:t>
        <w:tab/>
        <w:t>26 29 29 426 / 0300</w:t>
        <w:tab/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(dále jen „zmocněnec“)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iCs/>
          <w:sz w:val="22"/>
          <w:szCs w:val="20"/>
        </w:rPr>
      </w:pPr>
      <w:r>
        <w:rPr>
          <w:rFonts w:cs="Calibri" w:cstheme="minorHAnsi" w:ascii="Calibri" w:hAnsi="Calibri"/>
          <w:b/>
          <w:iCs/>
          <w:sz w:val="22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iCs/>
          <w:sz w:val="22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0"/>
          <w:u w:val="single"/>
        </w:rPr>
        <w:t>k jednáním s pojišťovnou:</w:t>
      </w:r>
    </w:p>
    <w:p>
      <w:pPr>
        <w:pStyle w:val="Normal"/>
        <w:ind w:left="-567" w:firstLine="1275"/>
        <w:rPr>
          <w:rFonts w:cs="Calibri" w:cstheme="minorHAnsi"/>
          <w:sz w:val="20"/>
          <w:szCs w:val="18"/>
        </w:rPr>
      </w:pPr>
      <w:r>
        <w:rPr/>
        <w:drawing>
          <wp:inline distT="0" distB="0" distL="0" distR="0">
            <wp:extent cx="257810" cy="22923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sz w:val="20"/>
          <w:szCs w:val="18"/>
        </w:rPr>
        <w:t xml:space="preserve">  </w:t>
      </w:r>
      <w:r>
        <w:rPr>
          <w:rFonts w:cs="Calibri" w:ascii="Calibri" w:hAnsi="Calibri" w:asciiTheme="minorHAnsi" w:cstheme="minorHAnsi" w:hAnsiTheme="minorHAnsi"/>
          <w:position w:val="12"/>
          <w:sz w:val="20"/>
          <w:szCs w:val="18"/>
        </w:rPr>
        <w:tab/>
      </w:r>
      <w:r>
        <w:rPr>
          <w:rFonts w:cs="Calibri" w:ascii="Calibri" w:hAnsi="Calibri" w:asciiTheme="minorHAnsi" w:cstheme="minorHAnsi" w:hAnsiTheme="minorHAnsi"/>
          <w:b/>
          <w:position w:val="12"/>
          <w:sz w:val="20"/>
          <w:szCs w:val="18"/>
        </w:rPr>
        <w:t>Kooperativa pojišťovna, a.s., Vienna Insurace Group</w:t>
      </w:r>
    </w:p>
    <w:p>
      <w:pPr>
        <w:pStyle w:val="Normal"/>
        <w:ind w:left="-567" w:firstLine="1275"/>
        <w:rPr>
          <w:rFonts w:ascii="Calibri" w:hAnsi="Calibri" w:cs="Calibri" w:asciiTheme="minorHAnsi" w:cstheme="minorHAnsi" w:hAnsiTheme="minorHAnsi"/>
          <w:b/>
          <w:b/>
          <w:iCs/>
          <w:sz w:val="22"/>
          <w:szCs w:val="20"/>
        </w:rPr>
      </w:pPr>
      <w:r>
        <w:rPr/>
        <w:drawing>
          <wp:inline distT="0" distB="0" distL="0" distR="0">
            <wp:extent cx="257810" cy="22923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sz w:val="20"/>
          <w:szCs w:val="18"/>
        </w:rPr>
        <w:t xml:space="preserve">  </w:t>
      </w:r>
      <w:r>
        <w:rPr>
          <w:rFonts w:cs="Calibri" w:ascii="Calibri" w:hAnsi="Calibri" w:asciiTheme="minorHAnsi" w:cstheme="minorHAnsi" w:hAnsiTheme="minorHAnsi"/>
          <w:position w:val="12"/>
          <w:sz w:val="20"/>
          <w:szCs w:val="18"/>
        </w:rPr>
        <w:tab/>
      </w:r>
      <w:r>
        <w:rPr>
          <w:rFonts w:cs="Calibri" w:ascii="Calibri" w:hAnsi="Calibri" w:asciiTheme="minorHAnsi" w:cstheme="minorHAnsi" w:hAnsiTheme="minorHAnsi"/>
          <w:b/>
          <w:position w:val="12"/>
          <w:sz w:val="20"/>
          <w:szCs w:val="18"/>
        </w:rPr>
        <w:t>Česká podnikatelská pojišťovna, a.s., Vienna Insurance Group</w:t>
      </w:r>
    </w:p>
    <w:p>
      <w:pPr>
        <w:pStyle w:val="Normal"/>
        <w:ind w:left="709" w:hanging="709"/>
        <w:jc w:val="both"/>
        <w:rPr>
          <w:rFonts w:ascii="Calibri" w:hAnsi="Calibri" w:cs="Calibri" w:asciiTheme="minorHAnsi" w:cstheme="minorHAnsi" w:hAnsiTheme="minorHAnsi"/>
          <w:sz w:val="20"/>
          <w:szCs w:val="18"/>
        </w:rPr>
      </w:pPr>
      <w:r>
        <w:rPr>
          <w:rFonts w:cs="Calibri" w:cstheme="minorHAnsi" w:ascii="Calibri" w:hAnsi="Calibri"/>
          <w:sz w:val="20"/>
          <w:szCs w:val="18"/>
        </w:rPr>
      </w:r>
    </w:p>
    <w:p>
      <w:pPr>
        <w:pStyle w:val="Normal"/>
        <w:spacing w:before="0" w:after="80"/>
        <w:ind w:left="709" w:hanging="709"/>
        <w:jc w:val="both"/>
        <w:rPr>
          <w:rFonts w:ascii="Calibri" w:hAnsi="Calibri" w:cs="Calibri" w:asciiTheme="minorHAnsi" w:cstheme="minorHAnsi" w:hAnsiTheme="minorHAnsi"/>
          <w:sz w:val="20"/>
          <w:szCs w:val="18"/>
        </w:rPr>
      </w:pPr>
      <w:r>
        <w:rPr/>
        <w:drawing>
          <wp:inline distT="0" distB="0" distL="0" distR="0">
            <wp:extent cx="257810" cy="22923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b/>
          <w:position w:val="12"/>
          <w:sz w:val="20"/>
          <w:szCs w:val="18"/>
        </w:rPr>
        <w:tab/>
      </w:r>
      <w:r>
        <w:rPr>
          <w:rFonts w:cs="Calibri" w:ascii="Calibri" w:hAnsi="Calibri" w:asciiTheme="minorHAnsi" w:cstheme="minorHAnsi" w:hAnsiTheme="minorHAnsi"/>
          <w:position w:val="12"/>
          <w:sz w:val="20"/>
          <w:szCs w:val="18"/>
        </w:rPr>
        <w:t>souvisejícím s vyřízením likvidace pojistné události a s opravou vozidla – pojistné plnění požaduji zaslat na toto bankovní spojení (účet klienta):  ………………………………………………………………………………………</w:t>
      </w:r>
    </w:p>
    <w:p>
      <w:pPr>
        <w:pStyle w:val="Normal"/>
        <w:spacing w:before="0" w:after="80"/>
        <w:ind w:left="709" w:hanging="709"/>
        <w:jc w:val="both"/>
        <w:rPr>
          <w:rFonts w:ascii="Calibri" w:hAnsi="Calibri" w:cs="Calibri" w:asciiTheme="minorHAnsi" w:cstheme="minorHAnsi" w:hAnsiTheme="minorHAnsi"/>
          <w:sz w:val="20"/>
          <w:szCs w:val="18"/>
        </w:rPr>
      </w:pPr>
      <w:r>
        <w:rPr/>
        <w:drawing>
          <wp:inline distT="0" distB="0" distL="0" distR="0">
            <wp:extent cx="257810" cy="229235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sz w:val="20"/>
          <w:szCs w:val="18"/>
        </w:rPr>
        <w:t xml:space="preserve">  </w:t>
      </w:r>
      <w:r>
        <w:rPr>
          <w:rFonts w:cs="Calibri" w:ascii="Calibri" w:hAnsi="Calibri" w:asciiTheme="minorHAnsi" w:cstheme="minorHAnsi" w:hAnsiTheme="minorHAnsi"/>
          <w:position w:val="12"/>
          <w:sz w:val="20"/>
          <w:szCs w:val="18"/>
        </w:rPr>
        <w:tab/>
        <w:t xml:space="preserve">souvisejícím s vyřízením likvidace pojistné události a s opravou vozidla a k převzetí případného pojistného plnění stanoveného pojistitelem za opravu vozidla.  </w:t>
      </w:r>
    </w:p>
    <w:p>
      <w:pPr>
        <w:pStyle w:val="BodyText2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BodyText2"/>
        <w:rPr>
          <w:rFonts w:ascii="Calibri" w:hAnsi="Calibri" w:cs="Calibri" w:asciiTheme="minorHAnsi" w:cstheme="minorHAnsi" w:hAnsiTheme="minorHAnsi"/>
          <w:sz w:val="20"/>
          <w:szCs w:val="20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V případě výplaty pojistného plnění zmocněnci uhradím zmocněnci případný rozdíl mezi účtovanou cenou za opravu a výší pojistného plnění pojistitele (např. odpočet spoluúčasti, DPH, snížení pojistného plnění apod.), a to před předáním opraveného vozidla. V případě, že pojistitel neposkytne pojistné plnění vůbec, uhradím zmocněnci fakturovanou částku před předáním opraveného vozidla v plné výši. Tento postup platí analogicky i pro situace, kdy pojistné plnění nepokryje celou fakturovanou částku za zapůjčení náhradního vozidla.  </w:t>
      </w:r>
    </w:p>
    <w:p>
      <w:pPr>
        <w:pStyle w:val="BodyText2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BodyText2"/>
        <w:rPr>
          <w:rFonts w:ascii="Calibri" w:hAnsi="Calibri" w:cs="Calibri" w:asciiTheme="minorHAnsi" w:cstheme="minorHAnsi" w:hAnsiTheme="minorHAnsi"/>
          <w:bCs/>
          <w:strike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Tato plná moc je účinná až do úplného vyřízení pojistné události pojistitelem. Zaniknout může pouze odvoláním ze strany zmocnitele, a to písemnou formou s prokázaným doručením zmocněnci. </w:t>
      </w:r>
    </w:p>
    <w:p>
      <w:pPr>
        <w:pStyle w:val="BodyText2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Pojištěné/opravované vozidlo: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Tovární značka/typ:</w:t>
        <w:tab/>
        <w:tab/>
        <w:t>….…………………………………………………………………………………….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SPZ (RZ)                                                ………………………………………………………………………………………..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VIN:</w:t>
        <w:tab/>
        <w:tab/>
        <w:tab/>
        <w:tab/>
        <w:t>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 ………………….…………….. dne ………………….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jc w:val="both"/>
        <w:rPr>
          <w:rFonts w:ascii="Calibri" w:hAnsi="Calibri" w:cs="Calibri" w:asciiTheme="minorHAnsi" w:cstheme="minorHAnsi" w:hAnsiTheme="minorHAnsi"/>
          <w:i/>
          <w:i/>
          <w:iCs/>
          <w:sz w:val="18"/>
        </w:rPr>
      </w:pPr>
      <w:r>
        <w:rPr>
          <w:rFonts w:cs="Calibri" w:ascii="Calibri" w:hAnsi="Calibri" w:asciiTheme="minorHAnsi" w:cstheme="minorHAnsi" w:hAnsiTheme="minorHAnsi"/>
          <w:i/>
          <w:iCs/>
          <w:sz w:val="18"/>
        </w:rPr>
        <w:t>podpis vlastníka vozidla/oprávněného jednajícího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Cs/>
          <w:sz w:val="18"/>
        </w:rPr>
      </w:pPr>
      <w:r>
        <w:rPr>
          <w:rFonts w:cs="Calibri" w:cstheme="minorHAnsi" w:ascii="Calibri" w:hAnsi="Calibri"/>
          <w:iCs/>
          <w:sz w:val="18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Plnou moc převzal dne ………………………….</w:t>
      </w:r>
    </w:p>
    <w:p>
      <w:pPr>
        <w:pStyle w:val="Normal"/>
        <w:ind w:left="3540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 „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zmocněnce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“   ………………………………………………..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i/>
          <w:iCs/>
          <w:sz w:val="18"/>
        </w:rPr>
        <w:t xml:space="preserve">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iCs/>
          <w:sz w:val="18"/>
        </w:rPr>
        <w:tab/>
        <w:tab/>
        <w:t xml:space="preserve">   razítko/podpis</w:t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0" w:top="624" w:footer="567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w:t xml:space="preserve">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jc w:val="left"/>
      <w:rPr>
        <w:b/>
        <w:b/>
        <w:color w:val="002060"/>
        <w:sz w:val="32"/>
        <w:szCs w:val="32"/>
        <w:u w:val="single"/>
      </w:rPr>
    </w:pPr>
    <w:r>
      <w:rPr/>
      <w:t xml:space="preserve">                                         </w:t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qFormat/>
    <w:pPr>
      <w:keepNext/>
      <w:ind w:left="360" w:hanging="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sz w:val="22"/>
      <w:lang w:val="en-GB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qFormat/>
    <w:pPr>
      <w:spacing w:before="240" w:after="60"/>
      <w:outlineLvl w:val="6"/>
    </w:pPr>
    <w:rPr>
      <w:rFonts w:ascii="Arial" w:hAnsi="Arial"/>
      <w:sz w:val="20"/>
      <w:lang w:val="en-GB"/>
    </w:rPr>
  </w:style>
  <w:style w:type="paragraph" w:styleId="Heading8">
    <w:name w:val="Heading 8"/>
    <w:basedOn w:val="Normal"/>
    <w:qFormat/>
    <w:pPr>
      <w:spacing w:before="240" w:after="60"/>
      <w:outlineLvl w:val="7"/>
    </w:pPr>
    <w:rPr>
      <w:rFonts w:ascii="Arial" w:hAnsi="Arial"/>
      <w:i/>
      <w:sz w:val="20"/>
      <w:lang w:val="en-GB"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TextbublinyChar" w:customStyle="1">
    <w:name w:val="Text bubliny Char"/>
    <w:basedOn w:val="DefaultParagraphFont"/>
    <w:link w:val="Textbubliny"/>
    <w:qFormat/>
    <w:rsid w:val="008e154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semiHidden/>
    <w:unhideWhenUsed/>
    <w:qFormat/>
    <w:rsid w:val="0056795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semiHidden/>
    <w:qFormat/>
    <w:rsid w:val="0056795f"/>
    <w:rPr/>
  </w:style>
  <w:style w:type="character" w:styleId="PedmtkomenteChar" w:customStyle="1">
    <w:name w:val="Předmět komentáře Char"/>
    <w:basedOn w:val="TextkomenteChar"/>
    <w:link w:val="Pedmtkomente"/>
    <w:semiHidden/>
    <w:qFormat/>
    <w:rsid w:val="0056795f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b w:val="false"/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TextBodyIndent">
    <w:name w:val="Body Text Indent"/>
    <w:basedOn w:val="Normal"/>
    <w:pPr>
      <w:ind w:left="1080" w:hanging="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qFormat/>
    <w:pPr>
      <w:ind w:left="360" w:hanging="0"/>
      <w:jc w:val="both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qFormat/>
    <w:pPr>
      <w:ind w:left="720" w:hanging="0"/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HTMLBottomofForm">
    <w:name w:val="HTML Bottom of Form"/>
    <w:basedOn w:val="Normal"/>
    <w:qFormat/>
    <w:rsid w:val="00987afc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TopofForm">
    <w:name w:val="HTML Top of Form"/>
    <w:basedOn w:val="Normal"/>
    <w:qFormat/>
    <w:rsid w:val="00987afc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TextbublinyChar"/>
    <w:qFormat/>
    <w:rsid w:val="008e154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6af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semiHidden/>
    <w:unhideWhenUsed/>
    <w:qFormat/>
    <w:rsid w:val="0056795f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semiHidden/>
    <w:unhideWhenUsed/>
    <w:qFormat/>
    <w:rsid w:val="0056795f"/>
    <w:pPr/>
    <w:rPr>
      <w:b/>
      <w:bCs/>
    </w:rPr>
  </w:style>
  <w:style w:type="paragraph" w:styleId="Revision">
    <w:name w:val="Revision"/>
    <w:uiPriority w:val="99"/>
    <w:semiHidden/>
    <w:qFormat/>
    <w:rsid w:val="00336d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ontrol" Target="activeX/activeX1.xml"/><Relationship Id="rId13" Type="http://schemas.openxmlformats.org/officeDocument/2006/relationships/control" Target="activeX/activeX2.xml"/><Relationship Id="rId14" Type="http://schemas.openxmlformats.org/officeDocument/2006/relationships/control" Target="activeX/activeX3.xml"/><Relationship Id="rId15" Type="http://schemas.openxmlformats.org/officeDocument/2006/relationships/control" Target="activeX/activeX4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28D7-3CE3-49E2-87A7-E69117D2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LibreOffice/5.3.1.2$MacOSX_X86_64 LibreOffice_project/e80a0e0fd1875e1696614d24c32df0f95f03deb2</Application>
  <Pages>1</Pages>
  <Words>237</Words>
  <Characters>1802</Characters>
  <CharactersWithSpaces>2357</CharactersWithSpaces>
  <Paragraphs>31</Paragraphs>
  <Company>Kooperativa, pojišťovna,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2018-03-14T05:55:00Z</dcterms:created>
  <dc:creator>silny</dc:creator>
  <dc:description/>
  <dc:language>en-US</dc:language>
  <cp:lastModifiedBy/>
  <cp:lastPrinted>2018-01-10T08:43:00Z</cp:lastPrinted>
  <dcterms:modified xsi:type="dcterms:W3CDTF">2019-01-11T12:16:40Z</dcterms:modified>
  <cp:revision>6</cp:revision>
  <dc:subject/>
  <dc:title>SMLOUVA  O  SPOLUPRÁCI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Kooperativa, pojišťovna,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